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963295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FORM SD</w:t>
      </w:r>
    </w:p>
    <w:p>
      <w:pPr>
        <w:spacing w:after="0" w:line="3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RxSight, Inc.</w:t>
      </w:r>
    </w:p>
    <w:p>
      <w:pPr>
        <w:spacing w:after="0" w:line="3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382270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310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001-40690</w:t>
            </w: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8"/>
                <w:szCs w:val="18"/>
                <w:b w:val="1"/>
                <w:bCs w:val="1"/>
                <w:color w:val="auto"/>
                <w:w w:val="98"/>
              </w:rPr>
              <w:t>94-3268801</w:t>
            </w:r>
          </w:p>
        </w:tc>
        <w:tc>
          <w:tcPr>
            <w:tcW w:w="0" w:type="dxa"/>
            <w:vAlign w:val="bottom"/>
          </w:tcPr>
          <w:p>
            <w:pPr>
              <w:spacing w:after="0"/>
              <w:rPr>
                <w:sz w:val="1"/>
                <w:szCs w:val="1"/>
                <w:color w:val="auto"/>
              </w:rPr>
            </w:pPr>
          </w:p>
        </w:tc>
      </w:tr>
      <w:tr>
        <w:trPr>
          <w:trHeight w:val="149"/>
        </w:trPr>
        <w:tc>
          <w:tcPr>
            <w:tcW w:w="3100" w:type="dxa"/>
            <w:vAlign w:val="bottom"/>
          </w:tcPr>
          <w:p>
            <w:pPr>
              <w:jc w:val="center"/>
              <w:ind w:right="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20" w:type="dxa"/>
            <w:vAlign w:val="bottom"/>
          </w:tcPr>
          <w:p>
            <w:pPr>
              <w:jc w:val="center"/>
              <w:ind w:left="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100" w:type="dxa"/>
            <w:vAlign w:val="bottom"/>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0" w:type="dxa"/>
            <w:vAlign w:val="bottom"/>
            <w:vMerge w:val="continue"/>
          </w:tcPr>
          <w:p>
            <w:pPr>
              <w:spacing w:after="0"/>
              <w:rPr>
                <w:sz w:val="16"/>
                <w:szCs w:val="16"/>
                <w:color w:val="auto"/>
              </w:rPr>
            </w:pP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393"/>
        </w:trPr>
        <w:tc>
          <w:tcPr>
            <w:tcW w:w="310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100 Columbia</w:t>
            </w:r>
          </w:p>
        </w:tc>
        <w:tc>
          <w:tcPr>
            <w:tcW w:w="3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w w:val="99"/>
              </w:rPr>
              <w:t>Aliso Viejo, California</w:t>
            </w:r>
          </w:p>
        </w:tc>
        <w:tc>
          <w:tcPr>
            <w:tcW w:w="3400" w:type="dxa"/>
            <w:vAlign w:val="bottom"/>
          </w:tcPr>
          <w:p>
            <w:pPr>
              <w:spacing w:after="0"/>
              <w:rPr>
                <w:sz w:val="18"/>
                <w:szCs w:val="18"/>
                <w:color w:val="auto"/>
              </w:rPr>
            </w:pPr>
          </w:p>
        </w:tc>
        <w:tc>
          <w:tcPr>
            <w:tcW w:w="2420" w:type="dxa"/>
            <w:vAlign w:val="bottom"/>
          </w:tcPr>
          <w:p>
            <w:pPr>
              <w:jc w:val="center"/>
              <w:ind w:left="861"/>
              <w:spacing w:after="0"/>
              <w:rPr>
                <w:sz w:val="20"/>
                <w:szCs w:val="20"/>
                <w:color w:val="auto"/>
              </w:rPr>
            </w:pPr>
            <w:r>
              <w:rPr>
                <w:rFonts w:ascii="Times New Roman" w:cs="Times New Roman" w:eastAsia="Times New Roman" w:hAnsi="Times New Roman"/>
                <w:sz w:val="18"/>
                <w:szCs w:val="18"/>
                <w:b w:val="1"/>
                <w:bCs w:val="1"/>
                <w:color w:val="auto"/>
                <w:w w:val="97"/>
              </w:rPr>
              <w:t>92656</w:t>
            </w:r>
          </w:p>
        </w:tc>
        <w:tc>
          <w:tcPr>
            <w:tcW w:w="0" w:type="dxa"/>
            <w:vAlign w:val="bottom"/>
          </w:tcPr>
          <w:p>
            <w:pPr>
              <w:spacing w:after="0"/>
              <w:rPr>
                <w:sz w:val="1"/>
                <w:szCs w:val="1"/>
                <w:color w:val="auto"/>
              </w:rPr>
            </w:pPr>
          </w:p>
        </w:tc>
      </w:tr>
      <w:tr>
        <w:trPr>
          <w:trHeight w:val="190"/>
        </w:trPr>
        <w:tc>
          <w:tcPr>
            <w:tcW w:w="3100" w:type="dxa"/>
            <w:vAlign w:val="bottom"/>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0" w:type="dxa"/>
            <w:vAlign w:val="bottom"/>
          </w:tcPr>
          <w:p>
            <w:pPr>
              <w:spacing w:after="0"/>
              <w:rPr>
                <w:sz w:val="16"/>
                <w:szCs w:val="16"/>
                <w:color w:val="auto"/>
              </w:rPr>
            </w:pP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Shelley Thunen</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Co-President and Chief Financial Officer</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9" w:lineRule="exact"/>
        <w:rPr>
          <w:sz w:val="24"/>
          <w:szCs w:val="24"/>
          <w:color w:val="auto"/>
        </w:rPr>
      </w:pPr>
    </w:p>
    <w:p>
      <w:pPr>
        <w:ind w:left="5400" w:hanging="313"/>
        <w:spacing w:after="0"/>
        <w:tabs>
          <w:tab w:leader="none" w:pos="54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Columbia</w:t>
      </w:r>
    </w:p>
    <w:p>
      <w:pPr>
        <w:spacing w:after="0" w:line="9" w:lineRule="exact"/>
        <w:rPr>
          <w:rFonts w:ascii="Times New Roman" w:cs="Times New Roman" w:eastAsia="Times New Roman" w:hAnsi="Times New Roman"/>
          <w:sz w:val="18"/>
          <w:szCs w:val="18"/>
          <w:b w:val="1"/>
          <w:bCs w:val="1"/>
          <w:color w:val="auto"/>
        </w:rPr>
      </w:pPr>
    </w:p>
    <w:p>
      <w:pPr>
        <w:ind w:left="5060" w:right="4520" w:hanging="305"/>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Aliso Viejo, CA 92656 (949) 521-7830</w:t>
      </w: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699135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submitted, and provide the period to which the information in this Form applies:</w:t>
      </w:r>
    </w:p>
    <w:p>
      <w:pPr>
        <w:spacing w:after="0" w:line="186"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Rule 13p-1 under the Securities Exchange Act (17 CFR 240.13p-1) for the reporting period from January 1 to December 31, 2024.</w:t>
      </w:r>
    </w:p>
    <w:p>
      <w:pPr>
        <w:spacing w:after="0" w:line="254"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13q-1 under the Securities Exchange Act (17 CFR 240.13q-1) for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1426210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color w:val="auto"/>
        </w:rPr>
        <w:t>Pursuant to Rule 13p-1 under the Securities Exchange Act of 1934, as amended, and Form SD, a Conflict Minerals Report of RxSight, Inc., for the period from January 1, 2024 to December 31, 2024, is provided as Exhibit 1.01 hereto. It is publicly available at http://investors.rxsight.com</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contents of that website are for informational purposes only and are not incorporated by reference into, and are not otherwise a part of, this Form SD.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RxSight, Inc. Conflict Minerals Report as required by Items 1.01 of this Form SD.</w:t>
            </w:r>
          </w:p>
        </w:tc>
      </w:tr>
      <w:tr>
        <w:trPr>
          <w:trHeight w:val="1215"/>
        </w:trPr>
        <w:tc>
          <w:tcPr>
            <w:tcW w:w="1920" w:type="dxa"/>
            <w:vAlign w:val="bottom"/>
            <w:tcBorders>
              <w:bottom w:val="single" w:sz="8" w:color="9A9A9A"/>
            </w:tcBorders>
          </w:tcPr>
          <w:p>
            <w:pPr>
              <w:spacing w:after="0"/>
              <w:rPr>
                <w:sz w:val="24"/>
                <w:szCs w:val="24"/>
                <w:color w:val="auto"/>
              </w:rPr>
            </w:pPr>
          </w:p>
        </w:tc>
        <w:tc>
          <w:tcPr>
            <w:tcW w:w="5940" w:type="dxa"/>
            <w:vAlign w:val="bottom"/>
            <w:tcBorders>
              <w:top w:val="single" w:sz="8" w:color="0000FF"/>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50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RxSight,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20, 2025</w:t>
      </w:r>
      <w:r>
        <w:rPr>
          <w:sz w:val="20"/>
          <w:szCs w:val="20"/>
          <w:color w:val="auto"/>
        </w:rPr>
        <w:tab/>
      </w:r>
      <w:r>
        <w:rPr>
          <w:rFonts w:ascii="Times New Roman" w:cs="Times New Roman" w:eastAsia="Times New Roman" w:hAnsi="Times New Roman"/>
          <w:sz w:val="18"/>
          <w:szCs w:val="18"/>
          <w:color w:val="auto"/>
        </w:rPr>
        <w:t>By:</w:t>
        <w:tab/>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Shelley Thunen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995"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RxSight,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Reporting Period from January 1, 2024 to December 31, 2024</w:t>
      </w:r>
    </w:p>
    <w:p>
      <w:pPr>
        <w:spacing w:after="0" w:line="20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i w:val="1"/>
          <w:iCs w:val="1"/>
          <w:color w:val="auto"/>
        </w:rPr>
        <w:t>Cautionary Note Concerning Forward-Looking Statements: This Conflict Minerals Report contains forward-looking statements within the meaning of federal securities laws. These forward-looking statements include statements concerning RxSight’s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RxSight, Inc. files with the United States Securities and Exchange Commission, including RxSight’s Annual Report on Form 10-K for the year ended December 31, 2024 and its subsequent Quarterly Reports on Form 10-Q. The risk factors included in these filings are not exhaustive, and risks that are not identified therein could materially affect whether RxSight realizes the results anticipated or implied by any forward-looking statements contained in this Conflict Minerals Report. Except as required by law, RxSight disclaims any obligation to update these forward-looking statements, whether as a result of new information, future events, or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3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Conflict Minerals Report (this “Report”) for RxSight, Inc. (“RxSight” or “we” or “our”) covers the reporting period from January 1, 2024 to December 31, 2024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http://investors.rxsight.com/. Information contained on, or that can be accessed through, our website, does not constitute part of this Report and inclusion of our website address in this Report is an inactive textual reference only.</w:t>
      </w:r>
    </w:p>
    <w:p>
      <w:pPr>
        <w:spacing w:after="0" w:line="198" w:lineRule="exact"/>
        <w:rPr>
          <w:sz w:val="20"/>
          <w:szCs w:val="20"/>
          <w:color w:val="auto"/>
        </w:rPr>
      </w:pPr>
    </w:p>
    <w:p>
      <w:pPr>
        <w:jc w:val="both"/>
        <w:ind w:firstLine="849"/>
        <w:spacing w:after="0" w:line="243" w:lineRule="auto"/>
        <w:rPr>
          <w:sz w:val="20"/>
          <w:szCs w:val="20"/>
          <w:color w:val="auto"/>
        </w:rPr>
      </w:pPr>
      <w:r>
        <w:rPr>
          <w:rFonts w:ascii="Times New Roman" w:cs="Times New Roman" w:eastAsia="Times New Roman" w:hAnsi="Times New Roman"/>
          <w:sz w:val="20"/>
          <w:szCs w:val="20"/>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used in their products benefited, directly or indirectly, armed groups in the Democratic Republic of the Congo and the nine countries with which it shares an internationally recognized border: Angola, Burundi, Central African Republic, Republic of the Congo, Rwanda, South Sudan, Tanzania, Uganda, and Zambia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contained in components used in our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RxSight Background and Covered Products</w:t>
      </w:r>
    </w:p>
    <w:p>
      <w:pPr>
        <w:spacing w:after="0" w:line="23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0"/>
          <w:szCs w:val="20"/>
          <w:color w:val="auto"/>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and “LAL+®”, collectively the “LAL®”), RxSight Light Delivery Device (“LDD™”), and accessories. Our LAL is a premium intraocular lens (“IOL”) made of proprietary photosensitive material that changes shape in response to specific patterns of ultraviolet (“UV”) light generated by our LDD. We manufacture our products at our facility in Aliso Viejo, California.</w:t>
      </w:r>
    </w:p>
    <w:p>
      <w:pPr>
        <w:spacing w:after="0" w:line="78"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 w:name="page5"/>
    <w:bookmarkEnd w:id="4"/>
    <w:p>
      <w:pPr>
        <w:ind w:right="240"/>
        <w:spacing w:after="0" w:line="269" w:lineRule="auto"/>
        <w:rPr>
          <w:sz w:val="20"/>
          <w:szCs w:val="20"/>
          <w:color w:val="auto"/>
        </w:rPr>
      </w:pPr>
      <w:r>
        <w:rPr>
          <w:rFonts w:ascii="Times New Roman" w:cs="Times New Roman" w:eastAsia="Times New Roman" w:hAnsi="Times New Roman"/>
          <w:sz w:val="20"/>
          <w:szCs w:val="20"/>
          <w:color w:val="auto"/>
        </w:rPr>
        <w:t>roughly 3,500 U.S. cataract surgeons that perform 70%-80% of all premium IOL procedures. Our manufacturing operations require a wide variety of raw materials that we rely on third-party manufacturers to supply.</w:t>
      </w:r>
    </w:p>
    <w:p>
      <w:pPr>
        <w:spacing w:after="0" w:line="51" w:lineRule="exact"/>
        <w:rPr>
          <w:sz w:val="20"/>
          <w:szCs w:val="20"/>
          <w:color w:val="auto"/>
        </w:rPr>
      </w:pPr>
    </w:p>
    <w:p>
      <w:pPr>
        <w:ind w:right="380" w:firstLine="749"/>
        <w:spacing w:after="0" w:line="269" w:lineRule="auto"/>
        <w:rPr>
          <w:sz w:val="20"/>
          <w:szCs w:val="20"/>
          <w:color w:val="auto"/>
        </w:rPr>
      </w:pPr>
      <w:r>
        <w:rPr>
          <w:rFonts w:ascii="Times New Roman" w:cs="Times New Roman" w:eastAsia="Times New Roman" w:hAnsi="Times New Roman"/>
          <w:sz w:val="20"/>
          <w:szCs w:val="20"/>
          <w:color w:val="auto"/>
        </w:rPr>
        <w:t>We have determined that one or more of the 3TG may be necessary to the functionality or production of the RxSight system we manufactured during 2024. As a result, all of our products are considered “covered products” for purposes of this Report.</w:t>
      </w:r>
    </w:p>
    <w:p>
      <w:pPr>
        <w:spacing w:after="0" w:line="51" w:lineRule="exact"/>
        <w:rPr>
          <w:sz w:val="20"/>
          <w:szCs w:val="20"/>
          <w:color w:val="auto"/>
        </w:rPr>
      </w:pPr>
    </w:p>
    <w:p>
      <w:pPr>
        <w:ind w:right="20" w:firstLine="798"/>
        <w:spacing w:after="0" w:line="249" w:lineRule="auto"/>
        <w:rPr>
          <w:sz w:val="20"/>
          <w:szCs w:val="20"/>
          <w:color w:val="auto"/>
        </w:rPr>
      </w:pPr>
      <w:r>
        <w:rPr>
          <w:rFonts w:ascii="Times New Roman" w:cs="Times New Roman" w:eastAsia="Times New Roman" w:hAnsi="Times New Roman"/>
          <w:sz w:val="20"/>
          <w:szCs w:val="20"/>
          <w:color w:val="auto"/>
        </w:rPr>
        <w:t>Our supply chain with respect to the covered products is complex, and there are many third-parties in the supply chain between the original source of the 3TG and the manufacturer of the covered products. We do not purchase raw ore or unrefined 3TG directly and make no purchases in the Covered Countries. As a result, and as described more fully below, we rely on our suppliers to provide information on the origin of the conflict minerals contained in our products.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RxSight Reasonable Country of Origin Inquiry</w:t>
      </w:r>
    </w:p>
    <w:p>
      <w:pPr>
        <w:spacing w:after="0" w:line="233" w:lineRule="exact"/>
        <w:rPr>
          <w:sz w:val="20"/>
          <w:szCs w:val="20"/>
          <w:color w:val="auto"/>
        </w:rPr>
      </w:pPr>
    </w:p>
    <w:p>
      <w:pPr>
        <w:jc w:val="both"/>
        <w:ind w:firstLine="849"/>
        <w:spacing w:after="0" w:line="249" w:lineRule="auto"/>
        <w:rPr>
          <w:sz w:val="20"/>
          <w:szCs w:val="20"/>
          <w:color w:val="auto"/>
        </w:rPr>
      </w:pPr>
      <w:r>
        <w:rPr>
          <w:rFonts w:ascii="Times New Roman" w:cs="Times New Roman" w:eastAsia="Times New Roman" w:hAnsi="Times New Roman"/>
          <w:sz w:val="20"/>
          <w:szCs w:val="20"/>
          <w:color w:val="auto"/>
        </w:rPr>
        <w:t>In accordance with Rule 13p-1 and Form SD, we determined that one or more of the 3TG may be necessary to the functionality or production of our products and that such 3TG are incorporated into our products during the manufacturing process. Accordingly, we undertook a reasonable country of origin inquiry (“RCOI”). This good faith RCOI was reasonably designed to determine whether any of the 3TG incorporated into our products originated in the Covered Countries.</w:t>
      </w:r>
    </w:p>
    <w:p>
      <w:pPr>
        <w:spacing w:after="0" w:line="193" w:lineRule="exact"/>
        <w:rPr>
          <w:sz w:val="20"/>
          <w:szCs w:val="20"/>
          <w:color w:val="auto"/>
        </w:rPr>
      </w:pPr>
    </w:p>
    <w:p>
      <w:pPr>
        <w:jc w:val="both"/>
        <w:ind w:firstLine="849"/>
        <w:spacing w:after="0" w:line="246" w:lineRule="auto"/>
        <w:rPr>
          <w:sz w:val="20"/>
          <w:szCs w:val="20"/>
          <w:color w:val="auto"/>
        </w:rPr>
      </w:pPr>
      <w:r>
        <w:rPr>
          <w:rFonts w:ascii="Times New Roman" w:cs="Times New Roman" w:eastAsia="Times New Roman" w:hAnsi="Times New Roman"/>
          <w:sz w:val="20"/>
          <w:szCs w:val="20"/>
          <w:color w:val="auto"/>
        </w:rPr>
        <w:t>Our RCOI consisted principally of submitting the conflict minerals reporting template (the “RMI Template”) prepared by the Responsible Minerals Initiative (“RMI”), an initiative of the Responsible Business Alliance, to suppliers of components for our products that are considered necessary to the functionality or production of our products and for which any 3TG or their derivatives may be included (“first-tier suppliers”). We reviewed all responses for completeness, reasonableness, and consistency, and we followed up for corrections and clarifications as we determined appropriate.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RxSight’s Due Diligence Process</w:t>
      </w:r>
    </w:p>
    <w:p>
      <w:pPr>
        <w:spacing w:after="0" w:line="233" w:lineRule="exact"/>
        <w:rPr>
          <w:sz w:val="20"/>
          <w:szCs w:val="20"/>
          <w:color w:val="auto"/>
        </w:rPr>
      </w:pPr>
    </w:p>
    <w:p>
      <w:pPr>
        <w:jc w:val="both"/>
        <w:ind w:firstLine="849"/>
        <w:spacing w:after="0" w:line="243" w:lineRule="auto"/>
        <w:rPr>
          <w:sz w:val="20"/>
          <w:szCs w:val="20"/>
          <w:color w:val="auto"/>
        </w:rPr>
      </w:pPr>
      <w:r>
        <w:rPr>
          <w:rFonts w:ascii="Times New Roman" w:cs="Times New Roman" w:eastAsia="Times New Roman" w:hAnsi="Times New Roman"/>
          <w:sz w:val="20"/>
          <w:szCs w:val="20"/>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one or more of the 3TG is incorporated into our products; whether any such 3TG incorporated into our products was necessary for the functionality and/or production of our products; the source and chain of custody of the 3TG necessary for the functionality and/or production of our products; and whether any such 3TG originated in the Covered Countries. In the event that 3TG from the Covered Countries which benefit armed groups are found in our supply chain, we will take appropriate actions in a timely manner to resolve the situation.</w:t>
      </w:r>
    </w:p>
    <w:p>
      <w:pPr>
        <w:spacing w:after="0" w:line="2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Due diligence measures that we implemented included, but were not limited, to the following:</w:t>
      </w:r>
    </w:p>
    <w:p>
      <w:pPr>
        <w:spacing w:after="0" w:line="229" w:lineRule="exact"/>
        <w:rPr>
          <w:sz w:val="20"/>
          <w:szCs w:val="20"/>
          <w:color w:val="auto"/>
        </w:rPr>
      </w:pPr>
    </w:p>
    <w:p>
      <w:pPr>
        <w:ind w:left="1700" w:hanging="200"/>
        <w:spacing w:after="0"/>
        <w:tabs>
          <w:tab w:leader="none" w:pos="1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Establishment of Internal Management Systems</w:t>
      </w:r>
    </w:p>
    <w:p>
      <w:pPr>
        <w:spacing w:after="0" w:line="333" w:lineRule="exact"/>
        <w:rPr>
          <w:rFonts w:ascii="Times New Roman" w:cs="Times New Roman" w:eastAsia="Times New Roman" w:hAnsi="Times New Roman"/>
          <w:sz w:val="20"/>
          <w:szCs w:val="20"/>
          <w:color w:val="auto"/>
        </w:rPr>
      </w:pPr>
    </w:p>
    <w:p>
      <w:pPr>
        <w:jc w:val="both"/>
        <w:ind w:left="3000" w:hanging="371"/>
        <w:spacing w:after="0" w:line="256" w:lineRule="auto"/>
        <w:tabs>
          <w:tab w:leader="none" w:pos="30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Internal Management to Support Supply Chain Due Diligence</w:t>
      </w:r>
      <w:r>
        <w:rPr>
          <w:rFonts w:ascii="Times New Roman" w:cs="Times New Roman" w:eastAsia="Times New Roman" w:hAnsi="Times New Roman"/>
          <w:sz w:val="20"/>
          <w:szCs w:val="20"/>
          <w:color w:val="auto"/>
        </w:rPr>
        <w:t>. The RxSight finance department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been charged with the management of our conflict minerals program, working in collaboration with members from our legal and operations team.</w:t>
      </w:r>
    </w:p>
    <w:p>
      <w:pPr>
        <w:spacing w:after="0" w:line="276" w:lineRule="exact"/>
        <w:rPr>
          <w:rFonts w:ascii="Times New Roman" w:cs="Times New Roman" w:eastAsia="Times New Roman" w:hAnsi="Times New Roman"/>
          <w:sz w:val="20"/>
          <w:szCs w:val="20"/>
          <w:color w:val="auto"/>
        </w:rPr>
      </w:pPr>
    </w:p>
    <w:p>
      <w:pPr>
        <w:jc w:val="both"/>
        <w:ind w:left="3000" w:hanging="371"/>
        <w:spacing w:after="0" w:line="246" w:lineRule="auto"/>
        <w:tabs>
          <w:tab w:leader="none" w:pos="3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Controls and Transparency</w:t>
      </w:r>
      <w:r>
        <w:rPr>
          <w:rFonts w:ascii="Times New Roman" w:cs="Times New Roman" w:eastAsia="Times New Roman" w:hAnsi="Times New Roman"/>
          <w:sz w:val="20"/>
          <w:szCs w:val="20"/>
          <w:color w:val="auto"/>
        </w:rPr>
        <w:t>. As described above, we undertook a RCOI with respect to conflict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minerals in our supply chain by providing the RMI Template to our first-tier suppliers to gather information about their use of 3TG, the smelters and refiners in their supply chain that are included in our products, and the countries of origin for 3TG used in our products. We reviewed all responses for completeness, reasonableness, and consistency. We followed up for corrections and clarifications as we determined appropriate.</w:t>
      </w:r>
    </w:p>
    <w:p>
      <w:pPr>
        <w:spacing w:after="0" w:line="70" w:lineRule="exact"/>
        <w:rPr>
          <w:rFonts w:ascii="Times New Roman" w:cs="Times New Roman" w:eastAsia="Times New Roman" w:hAnsi="Times New Roman"/>
          <w:sz w:val="18"/>
          <w:szCs w:val="18"/>
          <w:color w:val="auto"/>
        </w:rPr>
      </w:pPr>
    </w:p>
    <w:p>
      <w:pPr>
        <w:jc w:val="both"/>
        <w:ind w:left="3000" w:hanging="371"/>
        <w:spacing w:after="0" w:line="256" w:lineRule="auto"/>
        <w:tabs>
          <w:tab w:leader="none" w:pos="3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Supplier Engagement. </w:t>
      </w:r>
      <w:r>
        <w:rPr>
          <w:rFonts w:ascii="Times New Roman" w:cs="Times New Roman" w:eastAsia="Times New Roman" w:hAnsi="Times New Roman"/>
          <w:sz w:val="20"/>
          <w:szCs w:val="20"/>
          <w:color w:val="auto"/>
        </w:rPr>
        <w:t>We continue to engage actively with our first-tier suppliers to strengthen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relationship with them. We have communicated to our suppliers our commitment to source conflict minerals in a manner that does not,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 w:name="page6"/>
    <w:bookmarkEnd w:id="5"/>
    <w:p>
      <w:pPr>
        <w:ind w:left="3000"/>
        <w:spacing w:after="0" w:line="269" w:lineRule="auto"/>
        <w:rPr>
          <w:sz w:val="20"/>
          <w:szCs w:val="20"/>
          <w:color w:val="auto"/>
        </w:rPr>
      </w:pPr>
      <w:r>
        <w:rPr>
          <w:rFonts w:ascii="Times New Roman" w:cs="Times New Roman" w:eastAsia="Times New Roman" w:hAnsi="Times New Roman"/>
          <w:sz w:val="20"/>
          <w:szCs w:val="20"/>
          <w:color w:val="auto"/>
        </w:rPr>
        <w:t>benefit armed groups in the Covered Countries. We will consider alternative arrangements for our supply needs if our suppliers are unable to cooperate in our due diligence efforts.</w:t>
      </w:r>
    </w:p>
    <w:p>
      <w:pPr>
        <w:spacing w:after="0" w:line="47" w:lineRule="exact"/>
        <w:rPr>
          <w:sz w:val="20"/>
          <w:szCs w:val="20"/>
          <w:color w:val="auto"/>
        </w:rPr>
      </w:pPr>
    </w:p>
    <w:p>
      <w:pPr>
        <w:jc w:val="both"/>
        <w:ind w:left="3000" w:hanging="371"/>
        <w:spacing w:after="0" w:line="256" w:lineRule="auto"/>
        <w:tabs>
          <w:tab w:leader="none" w:pos="3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Grievance Mechanism</w:t>
      </w:r>
      <w:r>
        <w:rPr>
          <w:rFonts w:ascii="Times New Roman" w:cs="Times New Roman" w:eastAsia="Times New Roman" w:hAnsi="Times New Roman"/>
          <w:sz w:val="20"/>
          <w:szCs w:val="20"/>
          <w:color w:val="auto"/>
        </w:rPr>
        <w:t>. Our Code of Business Conduct and Ethics includes procedures for reporting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violations of our policies, and we provide mechanisms for anonymous reporting of violations or concerns about the conduct of our business.</w:t>
      </w:r>
    </w:p>
    <w:p>
      <w:pPr>
        <w:spacing w:after="0" w:line="186" w:lineRule="exact"/>
        <w:rPr>
          <w:rFonts w:ascii="Times New Roman" w:cs="Times New Roman" w:eastAsia="Times New Roman" w:hAnsi="Times New Roman"/>
          <w:sz w:val="18"/>
          <w:szCs w:val="18"/>
          <w:color w:val="auto"/>
        </w:rPr>
      </w:pPr>
    </w:p>
    <w:p>
      <w:pPr>
        <w:ind w:left="1700" w:hanging="200"/>
        <w:spacing w:after="0"/>
        <w:tabs>
          <w:tab w:leader="none" w:pos="1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Identification and Assessment of Risks in the Supply Chain</w:t>
      </w:r>
    </w:p>
    <w:p>
      <w:pPr>
        <w:spacing w:after="0" w:line="229" w:lineRule="exact"/>
        <w:rPr>
          <w:sz w:val="20"/>
          <w:szCs w:val="20"/>
          <w:color w:val="auto"/>
        </w:rPr>
      </w:pPr>
    </w:p>
    <w:p>
      <w:pPr>
        <w:jc w:val="both"/>
        <w:ind w:left="1960" w:firstLine="849"/>
        <w:spacing w:after="0" w:line="249" w:lineRule="auto"/>
        <w:rPr>
          <w:sz w:val="20"/>
          <w:szCs w:val="20"/>
          <w:color w:val="auto"/>
        </w:rPr>
      </w:pPr>
      <w:r>
        <w:rPr>
          <w:rFonts w:ascii="Times New Roman" w:cs="Times New Roman" w:eastAsia="Times New Roman" w:hAnsi="Times New Roman"/>
          <w:sz w:val="20"/>
          <w:szCs w:val="20"/>
          <w:color w:val="auto"/>
        </w:rPr>
        <w:t>As discussed above, we identified our first-tier suppliers and relied on them to provide the necessary information about the use of 3TG in the products we purchase and incorporate into the manufacturing process of our RxSight system, and the source of such 3TG. Similarly, our first-tier suppliers rely on information provided by their suppliers to provide information regarding the country of origin of 3TG included in our products.</w:t>
      </w:r>
    </w:p>
    <w:p>
      <w:pPr>
        <w:spacing w:after="0" w:line="193" w:lineRule="exact"/>
        <w:rPr>
          <w:sz w:val="20"/>
          <w:szCs w:val="20"/>
          <w:color w:val="auto"/>
        </w:rPr>
      </w:pPr>
    </w:p>
    <w:p>
      <w:pPr>
        <w:ind w:left="1700" w:hanging="200"/>
        <w:spacing w:after="0"/>
        <w:tabs>
          <w:tab w:leader="none" w:pos="1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Designing and Implementing a Strategy to Respond to Identified Risks</w:t>
      </w:r>
    </w:p>
    <w:p>
      <w:pPr>
        <w:spacing w:after="0" w:line="229" w:lineRule="exact"/>
        <w:rPr>
          <w:sz w:val="20"/>
          <w:szCs w:val="20"/>
          <w:color w:val="auto"/>
        </w:rPr>
      </w:pPr>
    </w:p>
    <w:p>
      <w:pPr>
        <w:jc w:val="both"/>
        <w:ind w:left="1960" w:firstLine="849"/>
        <w:spacing w:after="0" w:line="254" w:lineRule="auto"/>
        <w:rPr>
          <w:sz w:val="20"/>
          <w:szCs w:val="20"/>
          <w:color w:val="auto"/>
        </w:rPr>
      </w:pPr>
      <w:r>
        <w:rPr>
          <w:rFonts w:ascii="Times New Roman" w:cs="Times New Roman" w:eastAsia="Times New Roman" w:hAnsi="Times New Roman"/>
          <w:sz w:val="20"/>
          <w:szCs w:val="20"/>
          <w:color w:val="auto"/>
        </w:rPr>
        <w:t>We will review circumstances in which certain suppliers are unable to provide us with complete or reliable responses to the RMI Template including, without limitation, considering whether to continue such contract or relationship or find a replacement supplier.</w:t>
      </w:r>
    </w:p>
    <w:p>
      <w:pPr>
        <w:spacing w:after="0" w:line="188" w:lineRule="exact"/>
        <w:rPr>
          <w:sz w:val="20"/>
          <w:szCs w:val="20"/>
          <w:color w:val="auto"/>
        </w:rPr>
      </w:pPr>
    </w:p>
    <w:p>
      <w:pPr>
        <w:ind w:left="1700" w:hanging="195"/>
        <w:spacing w:after="0"/>
        <w:tabs>
          <w:tab w:leader="none" w:pos="1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Carrying Out Independent Third-Party Audit of Supply Chain Due Diligence at Identified Points in the Supply Chain</w:t>
      </w:r>
    </w:p>
    <w:p>
      <w:pPr>
        <w:spacing w:after="0" w:line="229" w:lineRule="exact"/>
        <w:rPr>
          <w:sz w:val="20"/>
          <w:szCs w:val="20"/>
          <w:color w:val="auto"/>
        </w:rPr>
      </w:pPr>
    </w:p>
    <w:p>
      <w:pPr>
        <w:jc w:val="both"/>
        <w:ind w:left="1960" w:firstLine="849"/>
        <w:spacing w:after="0" w:line="246" w:lineRule="auto"/>
        <w:rPr>
          <w:sz w:val="20"/>
          <w:szCs w:val="20"/>
          <w:color w:val="auto"/>
        </w:rPr>
      </w:pPr>
      <w:r>
        <w:rPr>
          <w:rFonts w:ascii="Times New Roman" w:cs="Times New Roman" w:eastAsia="Times New Roman" w:hAnsi="Times New Roman"/>
          <w:sz w:val="20"/>
          <w:szCs w:val="20"/>
          <w:color w:val="auto"/>
        </w:rPr>
        <w:t>We do not have a direct relationship with any smelters or refiners in our supply chain. As a result, we do not and cannot conduct any audits directly. Instead, we have supported the development and implementation of independent third-party audits of smelters such as the Responsible Minerals Assurance Program (“RMAP”) by encouraging our suppliers to purchase materials from audited, conflict-free smelters and determining whether the smelters that were used to process these minerals were validated as conflict-free by the RMAP.</w:t>
      </w:r>
    </w:p>
    <w:p>
      <w:pPr>
        <w:spacing w:after="0" w:line="198" w:lineRule="exact"/>
        <w:rPr>
          <w:sz w:val="20"/>
          <w:szCs w:val="20"/>
          <w:color w:val="auto"/>
        </w:rPr>
      </w:pPr>
    </w:p>
    <w:p>
      <w:pPr>
        <w:ind w:left="1700" w:hanging="200"/>
        <w:spacing w:after="0"/>
        <w:tabs>
          <w:tab w:leader="none" w:pos="1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on Supply Chain Due Diligence</w:t>
      </w:r>
    </w:p>
    <w:p>
      <w:pPr>
        <w:spacing w:after="0" w:line="229" w:lineRule="exact"/>
        <w:rPr>
          <w:sz w:val="20"/>
          <w:szCs w:val="20"/>
          <w:color w:val="auto"/>
        </w:rPr>
      </w:pPr>
    </w:p>
    <w:p>
      <w:pPr>
        <w:jc w:val="both"/>
        <w:ind w:left="1960" w:firstLine="849"/>
        <w:spacing w:after="0" w:line="246" w:lineRule="auto"/>
        <w:rPr>
          <w:sz w:val="20"/>
          <w:szCs w:val="20"/>
          <w:color w:val="auto"/>
        </w:rPr>
      </w:pPr>
      <w:r>
        <w:rPr>
          <w:rFonts w:ascii="Times New Roman" w:cs="Times New Roman" w:eastAsia="Times New Roman" w:hAnsi="Times New Roman"/>
          <w:sz w:val="20"/>
          <w:szCs w:val="20"/>
          <w:color w:val="auto"/>
        </w:rPr>
        <w:t>We publicly filed the Form SD and this Report with the SEC. A copy of this Report and the Form SD are publicly available at http://investors.rxsight.com/. This Report includes information about the RCOI methodology utilized by the Company, the design of our due diligence process in conformance with the OECD Framework, the list of known smelters and refiners utilized in our supply chain identified in our due diligence process, and a description of our products that incorporate 3TG necessary to the functionality or production of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Smelters and Refiners in RxSight’s Supply Chain</w:t>
      </w:r>
    </w:p>
    <w:p>
      <w:pPr>
        <w:spacing w:after="0" w:line="233" w:lineRule="exact"/>
        <w:rPr>
          <w:sz w:val="20"/>
          <w:szCs w:val="20"/>
          <w:color w:val="auto"/>
        </w:rPr>
      </w:pPr>
    </w:p>
    <w:p>
      <w:pPr>
        <w:jc w:val="both"/>
        <w:ind w:firstLine="898"/>
        <w:spacing w:after="0" w:line="243" w:lineRule="auto"/>
        <w:rPr>
          <w:sz w:val="20"/>
          <w:szCs w:val="20"/>
          <w:color w:val="auto"/>
        </w:rPr>
      </w:pPr>
      <w:r>
        <w:rPr>
          <w:rFonts w:ascii="Times New Roman" w:cs="Times New Roman" w:eastAsia="Times New Roman" w:hAnsi="Times New Roman"/>
          <w:sz w:val="20"/>
          <w:szCs w:val="20"/>
          <w:color w:val="auto"/>
        </w:rPr>
        <w:t xml:space="preserve">Based on the information that was provided by our suppliers and otherwise obtained through the due diligence process, we believe that, to the extent reasonably determinable, the facilities that were used to process the 3TG contained in the covered products included the smelters and refiners listed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This table includes only facilities that are listed in the RMI Smelter Reference List as of May 15, 2024. An indication of “Conformant” in the far-right column of the table indicates that the smelter or refinery has successfully completed an assessment against the applicable RMAP standard or an equivalent cross-recognized assessment or is presently undergoing a re-audit to maintain its “conflict free” designation. An indication of “Active” in the far-right column of the table indicates that the smelter or refinery has not yet received a “conflict free” designation but is undergoing an audit process that will determine such status. An indication of “Unknown” in the far-right column of the table indicates that the smelter or refinery was not included in the RMI “Conformant” or “Active” lists and thus the facility’s designation is undeterminable.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 w:name="page7"/>
    <w:bookmarkEnd w:id="6"/>
    <w:p>
      <w:pPr>
        <w:jc w:val="both"/>
        <w:ind w:firstLine="849"/>
        <w:spacing w:after="0" w:line="244" w:lineRule="auto"/>
        <w:rPr>
          <w:sz w:val="20"/>
          <w:szCs w:val="20"/>
          <w:color w:val="auto"/>
        </w:rPr>
      </w:pPr>
      <w:r>
        <w:rPr>
          <w:rFonts w:ascii="Times New Roman" w:cs="Times New Roman" w:eastAsia="Times New Roman" w:hAnsi="Times New Roman"/>
          <w:sz w:val="20"/>
          <w:szCs w:val="20"/>
          <w:color w:val="auto"/>
        </w:rPr>
        <w:t>Because the RMI Smelter Reference List generally did not indicate individual countries of origin of the conflict minerals processed by smelters and refiners, we were not able to determine the countries of origin of the 3TG processed by the listed smelters and refiners with greater specificity. Furthermore, as stated earlier, submission of these smelters by our first-tier suppliers does not guarantee that these smelters or refiners are present in the Company’s supply chain as our first-tier suppliers were generally only able to provide company-level RMI Templates and not able to provide product-level RMI Templates directly linking those smelters or refiners to the covered products. Therefore, based on our due diligence efforts, we do not have sufficient information to conclusively determine the countries of origin of the 3TG contained in the covered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Risk Factors</w:t>
      </w:r>
    </w:p>
    <w:p>
      <w:pPr>
        <w:spacing w:after="0" w:line="233" w:lineRule="exact"/>
        <w:rPr>
          <w:sz w:val="20"/>
          <w:szCs w:val="20"/>
          <w:color w:val="auto"/>
        </w:rPr>
      </w:pPr>
    </w:p>
    <w:p>
      <w:pPr>
        <w:jc w:val="both"/>
        <w:ind w:firstLine="849"/>
        <w:spacing w:after="0" w:line="243" w:lineRule="auto"/>
        <w:rPr>
          <w:sz w:val="20"/>
          <w:szCs w:val="20"/>
          <w:color w:val="auto"/>
        </w:rPr>
      </w:pPr>
      <w:r>
        <w:rPr>
          <w:rFonts w:ascii="Times New Roman" w:cs="Times New Roman" w:eastAsia="Times New Roman" w:hAnsi="Times New Roman"/>
          <w:sz w:val="20"/>
          <w:szCs w:val="20"/>
          <w:color w:val="auto"/>
        </w:rPr>
        <w:t>The statements above are based on the RCOI process and due diligence performed in good faith by RxSight. These statements are based on the infrastructure and information available at the time. A number of factors could introduce errors or otherwise affect our 3TG status. These factors include, but are not limited to, gaps in supplier data; gaps in smelter data; errors or omissions by suppliers; errors or omissions by smelters; the definition of a smelter not being finalized at the end of the 2024 reporting period; all instances of 3TG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oversight or errors in conflict free smelter audits; Covered Countries sourced materials being declared secondary materials; companies going out of business in 2024; certification programs being not equally advanced for all industry segments and metals; and smuggling of 3TG from the Covered Countries to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Steps</w:t>
      </w:r>
    </w:p>
    <w:p>
      <w:pPr>
        <w:spacing w:after="0" w:line="233" w:lineRule="exact"/>
        <w:rPr>
          <w:sz w:val="20"/>
          <w:szCs w:val="20"/>
          <w:color w:val="auto"/>
        </w:rPr>
      </w:pPr>
    </w:p>
    <w:p>
      <w:pPr>
        <w:jc w:val="both"/>
        <w:ind w:firstLine="849"/>
        <w:spacing w:after="0" w:line="246" w:lineRule="auto"/>
        <w:rPr>
          <w:sz w:val="20"/>
          <w:szCs w:val="20"/>
          <w:color w:val="auto"/>
        </w:rPr>
      </w:pPr>
      <w:r>
        <w:rPr>
          <w:rFonts w:ascii="Times New Roman" w:cs="Times New Roman" w:eastAsia="Times New Roman" w:hAnsi="Times New Roman"/>
          <w:sz w:val="20"/>
          <w:szCs w:val="20"/>
          <w:color w:val="auto"/>
        </w:rPr>
        <w:t>We have communicated our expectations to our first-tier suppliers regarding our commitment to sourcing minerals for our products in a manner that does not, directly, or indirectly, finance or benefit armed groups in the Democratic Republic of the Congo or adjoining countries. We expect to continue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1559560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 w:name="page8"/>
    <w:bookmarkEnd w:id="7"/>
    <w:p>
      <w:pPr>
        <w:ind w:left="528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Facility and Country List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640" w:type="dxa"/>
            <w:vAlign w:val="bottom"/>
            <w:shd w:val="clear" w:color="auto" w:fill="D1D1D1"/>
          </w:tcPr>
          <w:p>
            <w:pPr>
              <w:ind w:left="2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740" w:type="dxa"/>
            <w:vAlign w:val="bottom"/>
            <w:shd w:val="clear" w:color="auto" w:fill="D1D1D1"/>
          </w:tcPr>
          <w:p>
            <w:pPr>
              <w:ind w:left="8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240" w:type="dxa"/>
            <w:vAlign w:val="bottom"/>
            <w:shd w:val="clear" w:color="auto" w:fill="D1D1D1"/>
          </w:tcPr>
          <w:p>
            <w:pPr>
              <w:ind w:left="62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8853 S.p.A.</w:t>
            </w:r>
          </w:p>
        </w:tc>
        <w:tc>
          <w:tcPr>
            <w:tcW w:w="374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rPr>
              <w:t>ITALY</w:t>
            </w:r>
          </w:p>
        </w:tc>
        <w:tc>
          <w:tcPr>
            <w:tcW w:w="2240" w:type="dxa"/>
            <w:vAlign w:val="bottom"/>
          </w:tcPr>
          <w:p>
            <w:pPr>
              <w:ind w:left="62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ABC Refinery Pty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Abington Reldan Metals, LLC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Advanced Chemical Company</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African Gold Refinery</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UGANDA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Agosi AG</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Aida Chemical Industries Co.,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Al Etihad Gold Refinery DMCC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Al Ghaith Gold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Albino Mountinho Lda.</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PORTUGAL</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Alexy Metals</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Almalyk Mining and Metallurgical Complex (AMMC)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UZBEKISTAN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AngloGold Ashanti Corrego do Sitio Mineracao</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Argor-Heraeus S.A.</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ARY Aurum Plus</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Asahi Pretec Corp.</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Asahi Refining Canada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Asahi Refining USA Inc.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Asaka Riken Co.,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Atasay Kuyumculuk Sanayi Ve Ticaret A.S.</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AU Traders and Refiners</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Augmont Enterprises Private Limited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Aurubis AG</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Bangalore Refinery</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Active</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Bangko Sentral ng Pilipinas (Central Bank of the Philippines)</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Boliden AB</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SWEDEN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Boliden Ronnskar</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SWEDEN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 Hafner GmbH + Co. KG</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C.I Metales Procesados Industriales SAS</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COLOMBIA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Caridad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MEXICO</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CCR Refinery - Glencore Canada Corporation</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Cendres + Metaux S.A.</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CGR Metalloys Pvt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Chenzhou Yunxiang Mining and Metallurgy Co.,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Chimet S.p.A.</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Chugai Mining</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Coimpa Industrial LTDA</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Daejin Indus Co.,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Daye Non-Ferrous Metals Mining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Degussa Sonne / Mond Goldhandel GmbH</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Dijllah Gold Refinery FZC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DODUCO Contacts and Refining GmbH</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Dongwu Gold Group</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Dowa</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DSC (Do Sung Corporation)</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Eco-System Recycling Co., Ltd. East Plant</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Eco-System Recycling Co., Ltd. North Plant</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Eco-System Recycling Co., Ltd. West Plant</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Elemetal Refining, LLC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1)</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2)</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3)</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4)</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Emirates Gold DMCC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Fidelity Printers and Refiners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ZIMBABWE</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Fujairah Gold FZC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Geib Refining Corporation</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GG Refinery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TANZANIA, UNITED REPUBLIC OF</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GGC Gujrat Gold Centre Pvt.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Global Tungsten &amp; Powders LLC</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Gold by Gold Colombia</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COLOMBIA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Gold Coast Refinery</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GHANA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Gold Refinery of Zijin Mining Group Co., Ltd.</w:t>
            </w:r>
          </w:p>
        </w:tc>
        <w:tc>
          <w:tcPr>
            <w:tcW w:w="374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2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Great Wall Precious Metals Co., Ltd. of CBPM</w:t>
            </w:r>
          </w:p>
        </w:tc>
        <w:tc>
          <w:tcPr>
            <w:tcW w:w="37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CHINA</w:t>
            </w:r>
          </w:p>
        </w:tc>
        <w:tc>
          <w:tcPr>
            <w:tcW w:w="22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Unknown</w:t>
            </w:r>
          </w:p>
        </w:tc>
      </w:tr>
      <w:tr>
        <w:trPr>
          <w:trHeight w:val="962"/>
        </w:trPr>
        <w:tc>
          <w:tcPr>
            <w:tcW w:w="6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6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780" w:type="dxa"/>
            <w:vAlign w:val="bottom"/>
            <w:shd w:val="clear" w:color="auto" w:fill="D1D1D1"/>
          </w:tcPr>
          <w:p>
            <w:pPr>
              <w:ind w:left="2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460" w:type="dxa"/>
            <w:vAlign w:val="bottom"/>
            <w:shd w:val="clear" w:color="auto" w:fill="D1D1D1"/>
          </w:tcPr>
          <w:p>
            <w:pPr>
              <w:ind w:left="6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380" w:type="dxa"/>
            <w:vAlign w:val="bottom"/>
            <w:shd w:val="clear" w:color="auto" w:fill="D1D1D1"/>
          </w:tcPr>
          <w:p>
            <w:pPr>
              <w:ind w:left="76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Guangdong Hua Jian Trade Co., Ltd.</w:t>
            </w:r>
          </w:p>
        </w:tc>
        <w:tc>
          <w:tcPr>
            <w:tcW w:w="3460" w:type="dxa"/>
            <w:vAlign w:val="bottom"/>
          </w:tcPr>
          <w:p>
            <w:pPr>
              <w:ind w:left="680"/>
              <w:spacing w:after="0" w:line="126"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Guangdong Jinding Gold Limited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Guoda Safina High-Tech Environmental Refinery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Hang Seng Technology</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Hangzhou Fuchunjiang Smelting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Heimerle + Meule GmbH</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Henan Yuguang Gold &amp; Lead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Heraeus Germany GmbH Co. KG</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Heraeus Metals Hong Kong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Hunan Chenzhou Mining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Hunan Guiyang yinxing Nonferrous Smelting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Hung Cheong Metal Manufacturing Limited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HwaSeong CJ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Industrial Refining Company</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Inner Mongolia Qiankun Gold and Silver Refinery Share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International Precious Metal Refiners</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Ishifuku Metal Industry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Istanbul Gold Refinery</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Italpreziosi</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JALAN &amp; Company</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Japan Mint</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Jiangxi Copper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Jinlong Copper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JSC Ekaterinburg Non-Ferrous Metal Processing Plant</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JSC Novosibirsk Refinery</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JSC Uralelectromed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JX Nippon Mining &amp; Metals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K.A. Rasmussen</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NORWAY</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Kaloti Precious Metals</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Kazakhmys Smelting LLC</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Kazzinc</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Kennecott Utah Copper LLC</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KGHM Polska Miedz Spolka Akcyjna</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POLAND</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Kojima Chemicals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Korea Zinc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KP Sanghvi International Pvt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Kundan Care Products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Kyrgyzaltyn JSC</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KYRGYZSTAN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Kyshtym Copper-Electrolytic Plant ZAO</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L'azurde Company For Jewelry</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SAUDI ARABIA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Lingbao Gold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Lingbao Jinyuan Tonghui Refinery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L'Orfebre S.A.</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ANDORRA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LS MnM Inc.</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LS-NIKKO Copper Inc.</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LT Metal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Luoyang Zijin Yinhui Gold Refinery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Marsam Metals</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Materion</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Matsuda Sangyo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MD Overseas</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Metahub Industries Sdn. Bhd.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 Concentrators SA (Pty)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Metallix Refining Inc.</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Metalor Technologies (Hong Kong)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Metalor Technologies (Singapore) Pte.,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Metalor Technologies (Suzhou)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Metalor Technologies S.A.</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Metalor USA Refining Corporation</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Metalurgica Met-Mex Penoles S.A. De C.V.</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MEXICO</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Mitsubishi Materials Corporation</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Mitsui Mining and Smelting Co., Ltd.</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MKS PAMP SA</w:t>
            </w:r>
          </w:p>
        </w:tc>
        <w:tc>
          <w:tcPr>
            <w:tcW w:w="346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38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MMTC-PAMP India Pvt., Ltd.</w:t>
            </w:r>
          </w:p>
        </w:tc>
        <w:tc>
          <w:tcPr>
            <w:tcW w:w="34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INDIA</w:t>
            </w:r>
          </w:p>
        </w:tc>
        <w:tc>
          <w:tcPr>
            <w:tcW w:w="23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Conformant</w:t>
            </w:r>
          </w:p>
        </w:tc>
      </w:tr>
      <w:tr>
        <w:trPr>
          <w:trHeight w:val="1610"/>
        </w:trPr>
        <w:tc>
          <w:tcPr>
            <w:tcW w:w="6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6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5260" w:type="dxa"/>
            <w:vAlign w:val="bottom"/>
            <w:shd w:val="clear" w:color="auto" w:fill="D1D1D1"/>
          </w:tcPr>
          <w:p>
            <w:pPr>
              <w:ind w:left="2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020" w:type="dxa"/>
            <w:vAlign w:val="bottom"/>
            <w:shd w:val="clear" w:color="auto" w:fill="D1D1D1"/>
          </w:tcPr>
          <w:p>
            <w:pPr>
              <w:ind w:left="2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340" w:type="dxa"/>
            <w:vAlign w:val="bottom"/>
            <w:shd w:val="clear" w:color="auto" w:fill="D1D1D1"/>
          </w:tcPr>
          <w:p>
            <w:pPr>
              <w:ind w:left="72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Modeltech Sdn Bhd</w:t>
            </w:r>
          </w:p>
        </w:tc>
        <w:tc>
          <w:tcPr>
            <w:tcW w:w="30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MALAYSIA</w:t>
            </w:r>
          </w:p>
        </w:tc>
        <w:tc>
          <w:tcPr>
            <w:tcW w:w="234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Morris and Watson</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NEW ZEALAND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Morris and Watson Gold Coast</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Moscow Special Alloys Processing Plant</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Nadir Metal Rafineri San. Ve Tic. A.S.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Navoi Mining and Metallurgical Combinat</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UZBEKISTAN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NH Recytech Company</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Nihon Material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Nyrstar Metals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Ogussa Osterreichische Gold- und Silber-Scheideanstalt GmbH</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Active</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Ohura Precious Metal Industry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OJSC "The Gulidov Krasnoyarsk Non-Ferrous Metals Plant" (OJSC Krastsvetmet)</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Pease &amp; Curren</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Penglai Penggang Gold Industry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Planta Recuperadora de Metales SpA</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CHILE</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Prioksky Plant of Non-Ferrous Metals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Aneka Tambang (Persero) Tbk</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PX Precinox S.A.</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QG Refining, LLC</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Rand Refinery (Pty)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Refinery of Seemine Gold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REMONDIS PMR B.V.</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Republic Metals Corporation</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Royal Canadian Mint</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SAAMP</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FRANCE</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Sabin Metal Corp.</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Safimet S.p.A</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SAFINA A.S.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CZECHIA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Sai Refinery</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Sam Precious Metals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Samduck Precious Metals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Samwon Metals Corp.</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Sancus ZFS (L’Orfebre, SA)</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COLOMBIA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SAXONIA Edelmetalle GmbH</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Schone Edelmetaal B.V.</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Sellem Industries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MAURITANIA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SEMPSA Joyeria Plateria S.A.</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 Tou Shi Yong Yuan Jin Shu Zai Sheng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Shandong Gold Smelting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Shandong Hengbang Smelter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Shandong Humon Smelting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Shandong Tiancheng Biological Gold Industrial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Shandong Yanggu Xiangguang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Shandong Zhaojin Gold &amp; Silver Refinery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Shenzhen CuiLu Gold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Shenzhen Heng Zhong Industry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Shenzhen Zhonghenglong Real Industry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Shirpur Gold Refinery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Sichuan Tianze Precious Metals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Singway Technology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TAIWAN, PROVINCE OF 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SINO-PLATINUM METALS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 Accurate Group, Inc.</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SOE Shyolkovsky Factory of Secondary Precious Metals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Solar Applied Materials Technology Corp.</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TAIWAN, PROVINCE OF 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Sovereign Metals</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State Research Institute Center for Physical Sciences and Technology</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LITHUANIA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Sudan Gold Refinery</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SUDAN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Sumitomo Metal Mining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SungEel HiMetal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Super Dragon Technology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TAIWAN, PROVINCE OF 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T.C.A S.p.A</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Tanaka Kikinzoku Kogyo K.K.</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Tokuriki Honten Co., Ltd.</w:t>
            </w:r>
          </w:p>
        </w:tc>
        <w:tc>
          <w:tcPr>
            <w:tcW w:w="3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5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Tongling Nonferrous Metals Group Co., Ltd.</w:t>
            </w:r>
          </w:p>
        </w:tc>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Unknown</w:t>
            </w:r>
          </w:p>
        </w:tc>
      </w:tr>
      <w:tr>
        <w:trPr>
          <w:trHeight w:val="1178"/>
        </w:trPr>
        <w:tc>
          <w:tcPr>
            <w:tcW w:w="6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6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880" w:type="dxa"/>
            <w:vAlign w:val="bottom"/>
            <w:shd w:val="clear" w:color="auto" w:fill="D1D1D1"/>
          </w:tcPr>
          <w:p>
            <w:pPr>
              <w:ind w:left="2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400" w:type="dxa"/>
            <w:vAlign w:val="bottom"/>
            <w:shd w:val="clear" w:color="auto" w:fill="D1D1D1"/>
          </w:tcPr>
          <w:p>
            <w:pPr>
              <w:ind w:left="5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340" w:type="dxa"/>
            <w:vAlign w:val="bottom"/>
            <w:shd w:val="clear" w:color="auto" w:fill="D1D1D1"/>
          </w:tcPr>
          <w:p>
            <w:pPr>
              <w:ind w:left="72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TOO Tau-Ken-Altyn</w:t>
            </w:r>
          </w:p>
        </w:tc>
        <w:tc>
          <w:tcPr>
            <w:tcW w:w="340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rPr>
              <w:t>KAZAKHSTAN</w:t>
            </w:r>
          </w:p>
        </w:tc>
        <w:tc>
          <w:tcPr>
            <w:tcW w:w="234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Torecom</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TSK Pretech</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Umicore Brasil Ltda.</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Umicore Precious Metals Thailand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Umicore S.A. Business Unit Precious Metals Refining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United Precious Metal Refining, Inc.</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Universal Precious Metals Refining Zambia</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ZAMBIA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Valcambi S.A.</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Value Trading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Viagra Di precious metals (Zhaoyuan)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WEEEREFINING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FRANCE</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Western Australian Mint (T/a The Perth Mint)</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White Solder Metalurgia e Mineracao Ltda.</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WIELAND Edelmetalle GmbH</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Wuzhong Group</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Yamakin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Yokohama Metal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Copper Industry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Gold Mining Group Co., Ltd. (YGMG)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Zhe Jiang Guang Yuan Noble Metal Smelting Factory</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Zhongkuang Gold Industry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Zhongshan Hyper-Toxic Substance Monopolized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Zhongshan Poison Material Proprietary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Zhongyuan Gold Smelter of Zhongjin Gold Corporation</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Zhuhai toxic materials Monopoly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Zhuzhou Smelting Group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Colt Refining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Bangkok Assay</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DaeryongENC</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Baiyin Nonferrous Metals Corporation (BNMC)</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Tai Perng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TAIWAN, PROVINCE OF 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Smelter not yet identified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Academy Precious Metal Materials (Zhaoyuan)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Western Australian Mint (The Perth Mint)</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Impala Refineries – Base Metals Refinery (BMR)</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Impala Rustenburg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 Gold International Resources Corp.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TAIZHOU CHANGSANJIAO CO.,LTD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Austin Powder</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Changzhou Chemical Research Institute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ASAHI METALFINE, Inc.</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Dongguanshi Sutande Dianzi Cailiao Youxiangongsi</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Codelco</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CHILE</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Metallurgical Group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Suzhou Xingrui Noble</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THE HUTTI GOLD MINES CO.LTD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OJSC Kolyma Refinery</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Changsanjiao elc.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Nyrstar</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Toyo Smelter &amp; Refinery, Sumitomo Metal Mining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Shenzhen Jinjunwei Resource Comprehensive Development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AURA-II</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Bauer Walser AG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SAM Precious Metals FZ-LLC</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Kunshan Jinli chemical industry reagents co.,Ltd.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Faggi Enrico S.p.A.</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Cheong Hing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Korea Metal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ATAkulche</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Cendres + M?taux SA</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CHALCO Yunnan Copper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LinBao Gold Mining</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Samdok Metal</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Shandong Tarzan Bio-Gold Industry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Great Wall Precious Metals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Anhui Tongling Nonferrous Metal Mining Co., Ltd.</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Guangdong Gaoyao Co</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DEGUSSA</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Impala Refineries – Platinum Metals Refinery (PMR)</w:t>
            </w:r>
          </w:p>
        </w:tc>
        <w:tc>
          <w:tcPr>
            <w:tcW w:w="3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4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Elite Industech Co., Ltd.</w:t>
            </w:r>
          </w:p>
        </w:tc>
        <w:tc>
          <w:tcPr>
            <w:tcW w:w="34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Conformant</w:t>
            </w:r>
          </w:p>
        </w:tc>
      </w:tr>
      <w:tr>
        <w:trPr>
          <w:trHeight w:val="962"/>
        </w:trPr>
        <w:tc>
          <w:tcPr>
            <w:tcW w:w="6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620" w:type="dxa"/>
            <w:vAlign w:val="bottom"/>
            <w:shd w:val="clear" w:color="auto" w:fill="D1D1D1"/>
          </w:tcPr>
          <w:p>
            <w:pPr>
              <w:ind w:left="1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000" w:type="dxa"/>
            <w:vAlign w:val="bottom"/>
            <w:shd w:val="clear" w:color="auto" w:fill="D1D1D1"/>
          </w:tcPr>
          <w:p>
            <w:pPr>
              <w:ind w:left="7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900" w:type="dxa"/>
            <w:vAlign w:val="bottom"/>
            <w:shd w:val="clear" w:color="auto" w:fill="D1D1D1"/>
          </w:tcPr>
          <w:p>
            <w:pPr>
              <w:ind w:left="28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6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NOBLE METAL SERVICES</w:t>
            </w:r>
          </w:p>
        </w:tc>
        <w:tc>
          <w:tcPr>
            <w:tcW w:w="4000" w:type="dxa"/>
            <w:vAlign w:val="bottom"/>
          </w:tcPr>
          <w:p>
            <w:pPr>
              <w:ind w:left="740"/>
              <w:spacing w:after="0" w:line="126"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Inca One (Chala One Plant)</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Attero Recycling Pvt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Inca One (Koricancha Plant)</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5D Production OU</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ESTONIA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AMG Brasil</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ANHUI HERRMAN IMPEX CO.</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Asaka Riken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Tantalum</w:t>
            </w:r>
          </w:p>
        </w:tc>
        <w:tc>
          <w:tcPr>
            <w:tcW w:w="46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Avon Specialty Metals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KINGDOM OF GREAT BRITAIN AND</w:t>
            </w:r>
          </w:p>
        </w:tc>
        <w:tc>
          <w:tcPr>
            <w:tcW w:w="1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4620" w:type="dxa"/>
            <w:vAlign w:val="bottom"/>
            <w:vMerge w:val="continue"/>
          </w:tcPr>
          <w:p>
            <w:pPr>
              <w:spacing w:after="0"/>
              <w:rPr>
                <w:sz w:val="12"/>
                <w:szCs w:val="12"/>
                <w:color w:val="auto"/>
              </w:rPr>
            </w:pP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NORTHERN IRELAND</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Changsha South Tantalum Niobium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CP Metals Inc.</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 Block Metals, LLC</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Duoluoshan</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Exotech Inc.</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F&amp;X Electro-Materials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FIR Metals &amp; Resource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Global Advanced Metals</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Global Advanced Metals Aizu</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Global Advanced Metals Boyertown</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Guangdong Rising Rare Metals-EO Materials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Hengyang King Xing Lifeng New Materials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Hi-Temp Specialty Metals, Inc.</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Jiangxi Dinghai Tantalum &amp; Niobium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Jiangxi Tuohong New Raw Material</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Jiujiang Janny New Material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JiuJiang JinXin Nonferrous Metals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Jiujiang Tanbre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Jiujiang Zhongao Tantalum &amp; Niobium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KEMET Blue Powder</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KEMET de Mexico</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MEXICO</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King-Tan Tantalum Industry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Materion Newton Inc.</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Metallurgical Products India Pvt.,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Mineracao Taboca S.A.</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Mitsui Mining and Smelting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Ningxia Orient Tantalum Industry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NPM Silmet AS</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ESTONIA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Plansee SE Liezen</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Plansee SE Reutte</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PowerX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RWANDA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PRG Dooel</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NORTH MACEDONIA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QSIL Metals Hermsdorf GmbH</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QuantumClean</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Resind Industria e Comercio Ltda.</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RFH Recycling Metals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RFH Yancheng Jinye New Material Technology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Solikamsk Magnesium Works OAO</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Taike Technology (Suzhou) Co.,Ltd.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Taki Chemical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TANIOBIS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TANIOBIS GmbH</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TANIOBIS Japan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TANIOBIS Smelting GmbH &amp; Co. KG</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Telex Metals</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Ulba Metallurgical Plant JSC</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ULVAC Inc.</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V&amp;D New Materials (Jiangsu)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XIMEI RESOURCES (GUANGDONG) LIMITED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XIMEI RESOURCES(GUIZHOU) TECHNOLOGY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XinXing HaoRong Electronic Material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Yanling Jincheng Tantalum &amp; Niobium Co., Ltd.</w:t>
            </w:r>
          </w:p>
        </w:tc>
        <w:tc>
          <w:tcPr>
            <w:tcW w:w="40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Tantalum</w:t>
            </w:r>
          </w:p>
        </w:tc>
        <w:tc>
          <w:tcPr>
            <w:tcW w:w="4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Yichun Jin Yang Rare Metal Co., Ltd.</w:t>
            </w:r>
          </w:p>
        </w:tc>
        <w:tc>
          <w:tcPr>
            <w:tcW w:w="4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CHINA</w:t>
            </w:r>
          </w:p>
        </w:tc>
        <w:tc>
          <w:tcPr>
            <w:tcW w:w="1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178"/>
        </w:trPr>
        <w:tc>
          <w:tcPr>
            <w:tcW w:w="7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7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5220" w:type="dxa"/>
            <w:vAlign w:val="bottom"/>
            <w:shd w:val="clear" w:color="auto" w:fill="D1D1D1"/>
          </w:tcPr>
          <w:p>
            <w:pPr>
              <w:ind w:left="1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200" w:type="dxa"/>
            <w:vAlign w:val="bottom"/>
            <w:shd w:val="clear" w:color="auto" w:fill="D1D1D1"/>
          </w:tcPr>
          <w:p>
            <w:pPr>
              <w:ind w:left="1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100" w:type="dxa"/>
            <w:vAlign w:val="bottom"/>
            <w:shd w:val="clear" w:color="auto" w:fill="D1D1D1"/>
          </w:tcPr>
          <w:p>
            <w:pPr>
              <w:ind w:left="48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Zhuzhou Cemented Carbide Group Co., Ltd.</w:t>
            </w:r>
          </w:p>
        </w:tc>
        <w:tc>
          <w:tcPr>
            <w:tcW w:w="32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26"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KEMET Corp.</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Tantalite Resources</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Smelter not yet identified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Meta Materials</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NORTH MACEDONIA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H.C. Starck Surface Technology and Ceramic Powders GmbH</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H.C. Starck Group</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E.S.R. Electronics</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CMT Rare Metal Advanced Materials (Hunan)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Tranzact, Inc.</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Plansee</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Jiangxi Sanshi Nonferrous Metals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Molycorp Silmet A.S.</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ESTONIA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H.C. Starck Hermsdorf GmbH</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Zhuzhou Cemented Carbide Group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Alpha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An Vinh Joint Stock Mineral Processing Company</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VIET NAM</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Aurubis AG</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Aurubis Beerse</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Aurubis Berango</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Chenzhou Yunxiang Mining and Metallurgy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Chifeng Dajingzi Tin Industry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 Tin Group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Chofu Works</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CNMC (Guangxi) PGMA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Cooperativa Metalurgica de Rondonia Ltda.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CRM Fundicao De Metais E Comercio De Equipamentos Eletronicos Do Brasil Ltda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CRM Synergies</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CV Ayi Jaya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CV Dua Sekawan</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CV Gita Pesona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CV United Smelting</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CV Venus Inti Perkasa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Dongguan CiEXPO Environmental Engineering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Dongguan City Xida Soldering Tin Products Co.</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Dowa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Dragon Silver Holdings Limited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DS Myanmar</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MYANMAR</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Electro-Mechanical Facility of the Cao Bang Minerals &amp; Metallurgy Joint Stock</w:t>
            </w:r>
          </w:p>
        </w:tc>
        <w:tc>
          <w:tcPr>
            <w:tcW w:w="3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VIET NAM</w:t>
            </w:r>
          </w:p>
        </w:tc>
        <w:tc>
          <w:tcPr>
            <w:tcW w:w="21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32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EM Vinto</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BOLIVIA (PLURINATIONAL STATE OF)</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Estanho de Rondonia S.A.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Fabrica Auricchio Industria e Comercio Ltda.</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Feinhutte Halsbrucke GmbH</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Fenix Metals</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POLAND</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Geib Refining Corporation</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City Fuxiang Industry and Trade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Fengming Metallurgy Chemical Plant</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Jinye Mineral Company</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Kai Meng Industry and Trade LLC</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Non-Ferrous Metal Processing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Non-Ferrous Metal Processing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Yunxi Group Corp.</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Yunxin Nonferrous Electrolysis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Gejiu Zili Mining And Metallurgy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Guangdong Hanhe Non-Ferrous Metal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GUANGXI HUA TIN GOLD MINUTE FEE,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Guangxi Nonferrous Metals Group</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Guangxi Zhongshan Jin Yi Smelting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Guanyang Guida Nonferrous Metal Smelting Plant</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Hezhou Jinwei Tin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Hongqiao Metals (Kunshan)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HuiChang Hill Tin Industry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Huichang Jinshunda Tin Co., Ltd.</w:t>
            </w:r>
          </w:p>
        </w:tc>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Tin</w:t>
            </w:r>
          </w:p>
        </w:tc>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Jiang Jia Wang Technology Co.</w:t>
            </w:r>
          </w:p>
        </w:tc>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962"/>
        </w:trPr>
        <w:tc>
          <w:tcPr>
            <w:tcW w:w="7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420" w:type="dxa"/>
            <w:vAlign w:val="bottom"/>
            <w:shd w:val="clear" w:color="auto" w:fill="D1D1D1"/>
          </w:tcPr>
          <w:p>
            <w:pPr>
              <w:ind w:left="2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220" w:type="dxa"/>
            <w:vAlign w:val="bottom"/>
            <w:shd w:val="clear" w:color="auto" w:fill="D1D1D1"/>
          </w:tcPr>
          <w:p>
            <w:pPr>
              <w:ind w:left="10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980" w:type="dxa"/>
            <w:vAlign w:val="bottom"/>
            <w:shd w:val="clear" w:color="auto" w:fill="D1D1D1"/>
          </w:tcPr>
          <w:p>
            <w:pPr>
              <w:ind w:left="36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Jiangxi Ketai Advanced Material Co., Ltd.</w:t>
            </w:r>
          </w:p>
        </w:tc>
        <w:tc>
          <w:tcPr>
            <w:tcW w:w="4220" w:type="dxa"/>
            <w:vAlign w:val="bottom"/>
          </w:tcPr>
          <w:p>
            <w:pPr>
              <w:ind w:left="1040"/>
              <w:spacing w:after="0" w:line="126" w:lineRule="exact"/>
              <w:rPr>
                <w:sz w:val="20"/>
                <w:szCs w:val="20"/>
                <w:color w:val="auto"/>
              </w:rPr>
            </w:pPr>
            <w:r>
              <w:rPr>
                <w:rFonts w:ascii="Times New Roman" w:cs="Times New Roman" w:eastAsia="Times New Roman" w:hAnsi="Times New Roman"/>
                <w:sz w:val="14"/>
                <w:szCs w:val="14"/>
                <w:color w:val="auto"/>
              </w:rPr>
              <w:t>CHINA</w:t>
            </w:r>
          </w:p>
        </w:tc>
        <w:tc>
          <w:tcPr>
            <w:tcW w:w="1980" w:type="dxa"/>
            <w:vAlign w:val="bottom"/>
          </w:tcPr>
          <w:p>
            <w:pPr>
              <w:ind w:left="36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Jiangxi New Nanshan Technology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Jiangxi Yaosheng Tungsten Co.,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KGETS Co.,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LIAN JING</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Luna Smelter,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RWANDA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 An Shan Shu Guang Smelter Corp.</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Ma'anshan Weitai Tin Co.,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Magnu's Minerais Metais e Ligas Ltda.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Malaysia Smelting Corporation (MSC)</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Malaysia Smelting Corporation Berhad (Port Klang)</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Materials Eco-Refining Co.,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Melt Metais e Ligas 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Active</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Metahub Industries Sdn. Bhd.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Metallic Resources, Inc.</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Minchali Metal Industry Co.,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TAIWAN, PROVINCE OF CHINA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Mineracao Taboca 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Ming Li Jia smelt Metal Factory</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Mining Minerals Resources SARL</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CONGO, DEMOCRATIC REPUBLIC OF THE</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Minsur</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Mitsubishi Materials Corporation</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Modeltech Sdn Bhd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Ney Metals and Alloys</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Nghe Tinh Non-Ferrous Metals Joint Stock Company</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VIET NAM</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Novosibirsk Tin Combine</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O.M. Manufacturing (Thailand) Co., Ltd.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O.M. Manufacturing Philippines, Inc.</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OMODEO A. E S. METALLEGHE SRL</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Operaciones Metalurgicas 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BOLIVIA (PLURINATIONAL STATE OF)</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Pongpipat Company Limited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MYANMAR</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Precious Minerals and Smelting Limited</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Aries Kencana Sejahtera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Artha Cipta Langgeng</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ATD Makmur Mandiri Jaya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Babel Inti Perkasa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Babel Surya Alam Lestari</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Bangka Prima Tin</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Bangka Putra Karya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Bangka Serumpun</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Bangka Tin Industry</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Belitung Industri Sejahtera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Bukit Timah</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Cipta Persada Mulia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DS Jaya Abadi</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Eunindo Usaha Mandiri</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Inti Stania Prima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Karimun Mining</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Kijang Jaya Mandiri</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Lautan Harmonis Sejahtera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Masbro Alam Stania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Active</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Menara Cipta Mulia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Mitra Stania Prima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Mitra Sukses Globalindo</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Panca Mega Persada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Premium Tin Indonesia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Prima Timah Utama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Putera Sarana Shakti (PT PSS)</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Rajawali Rimba Perkasa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Rajehan Ariq</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Refined Bangka Tin</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Sariwiguna Binasentosa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Stanindo Inti Perkasa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Sukses Inti Makmur (SIM)</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Sumber Jaya Indah</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Timah Nusantara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Timah TBK</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Timah Tbk Kundur</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Timah Tbk Mentok</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Tinindo Inter Nusa</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Tirus Putra Mandiri</w:t>
            </w:r>
          </w:p>
        </w:tc>
        <w:tc>
          <w:tcPr>
            <w:tcW w:w="4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Tin</w:t>
            </w:r>
          </w:p>
        </w:tc>
        <w:tc>
          <w:tcPr>
            <w:tcW w:w="4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PT Tommy Utama</w:t>
            </w:r>
          </w:p>
        </w:tc>
        <w:tc>
          <w:tcPr>
            <w:tcW w:w="4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INDONESIA</w:t>
            </w:r>
          </w:p>
        </w:tc>
        <w:tc>
          <w:tcPr>
            <w:tcW w:w="1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Conformant</w:t>
            </w:r>
          </w:p>
        </w:tc>
      </w:tr>
      <w:tr>
        <w:trPr>
          <w:trHeight w:val="962"/>
        </w:trPr>
        <w:tc>
          <w:tcPr>
            <w:tcW w:w="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62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5200" w:type="dxa"/>
            <w:vAlign w:val="bottom"/>
            <w:shd w:val="clear" w:color="auto" w:fill="D1D1D1"/>
          </w:tcPr>
          <w:p>
            <w:pPr>
              <w:ind w:left="26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080" w:type="dxa"/>
            <w:vAlign w:val="bottom"/>
            <w:shd w:val="clear" w:color="auto" w:fill="D1D1D1"/>
          </w:tcPr>
          <w:p>
            <w:pPr>
              <w:ind w:left="26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340" w:type="dxa"/>
            <w:vAlign w:val="bottom"/>
            <w:shd w:val="clear" w:color="auto" w:fill="D1D1D1"/>
          </w:tcPr>
          <w:p>
            <w:pPr>
              <w:ind w:left="72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PT Wahana Perkit Jaya</w:t>
            </w:r>
          </w:p>
        </w:tc>
        <w:tc>
          <w:tcPr>
            <w:tcW w:w="308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26"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Resind Industria e Comercio Ltda.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Rian Resources SDN. BHD.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Rui Da Hung</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TAIWAN, PROVINCE OF 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Shan Tou Shi Yong Yuan Jin Shu Zai Sheng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Shenzhen Hong Chang Metal Manufacturing Factory</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Sichuan Guanghan Jiangnan casting smelters</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SIGMA TIN ALLOY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Soft Metais Ltda.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Solder Court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Super Ligas</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SUZHOU NUONENGDA CHEMICAL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Taiwan Huanliang</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TAIWAN, PROVINCE OF 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Thai Nguyen Mining and Metallurgy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VIET NAM</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Thailand Mine Factory</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Thaisarco</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Three green surface technology limited company</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Tin Plating Gejiu</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Tin Smelting Branch of Yunnan Tin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Tin Technology &amp; Refining</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TONG LONG</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Top-Team Technology (Shenzhen)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TRATHO METAL QUIMICA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Tuyen Quang Non-Ferrous Metals Joint Stock Company</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VIET NAM</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Valcambi S.A.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VQB Mineral and Trading Group JSC</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VIET NAM</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White Solder Metalurgia e Mineracao Ltda.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Wujiang City luxe Tin Factory</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Xiamen Honglu Tungsten Molybdenum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Xianghualing Tin Industry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Xin Furukawa Metal ( Wuxi )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XURI</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Yifeng Tin</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Yiquan Manufacturing</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Yuecheng Tin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Chengfeng Non-ferrous Metals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Chengo Electric Smelting Plant</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Copper Zinc Industry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Geiju Smelting Corp.</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Industrial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Malipo Baiyi Kuangye Co.</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Yunnan Yunfan Non-ferrous Metals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Zhongshan Jinye Smelting Co.,Ltd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O.M. Indonesia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Takehara PVD Materials Plant / PVD Materials Division of MITSUI MINING &amp;</w:t>
            </w:r>
          </w:p>
        </w:tc>
        <w:tc>
          <w:tcPr>
            <w:tcW w:w="3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JAPAN</w:t>
            </w:r>
          </w:p>
        </w:tc>
        <w:tc>
          <w:tcPr>
            <w:tcW w:w="23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620" w:type="dxa"/>
            <w:vAlign w:val="bottom"/>
            <w:vMerge w:val="continue"/>
          </w:tcPr>
          <w:p>
            <w:pPr>
              <w:spacing w:after="0"/>
              <w:rPr>
                <w:sz w:val="12"/>
                <w:szCs w:val="12"/>
                <w:color w:val="auto"/>
              </w:rPr>
            </w:pP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SMELTING CO., LTD.</w:t>
            </w:r>
          </w:p>
        </w:tc>
        <w:tc>
          <w:tcPr>
            <w:tcW w:w="308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Angelcast Enterprise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Supra Sukses Trinusa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Bangka Timah Utama Sejahtera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Samhwa non-ferrorus Metal ind.co.ltd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KOREA, REPUBLIC OF</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CFC Cooperativa dos Fundidores de Cassiterita da Amazonia Ltda.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Smelter not yet identified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IBF IND BRASILEIRA DE FERROLIGAS LTDA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CV Duta Putra Bangka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Nathan Trotter &amp; Co INC.</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Westfalenzinn</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 Thai Minerals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VIET NAM</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Linqu Xianggui Smelter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Singkep Times Utama</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PT Yinchendo Mining Industry</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Westmetall GmbH &amp; Co. KG</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Taicang City Nancang Metal Material Co., Ltd.</w:t>
            </w:r>
          </w:p>
        </w:tc>
        <w:tc>
          <w:tcPr>
            <w:tcW w:w="30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Tin</w:t>
            </w:r>
          </w:p>
        </w:tc>
        <w:tc>
          <w:tcPr>
            <w:tcW w:w="5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ShangHai YueQiang Metal Products Co., LTD</w:t>
            </w:r>
          </w:p>
        </w:tc>
        <w:tc>
          <w:tcPr>
            <w:tcW w:w="3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c>
          <w:tcPr>
            <w:tcW w:w="23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178"/>
        </w:trPr>
        <w:tc>
          <w:tcPr>
            <w:tcW w:w="6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9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00"/>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4"/>
    </w:lvl>
  </w:abstractNum>
  <w:abstractNum w:abstractNumId="5">
    <w:nsid w:val="79E2A9E3"/>
    <w:multiLevelType w:val="hybridMultilevel"/>
    <w:lvl w:ilvl="0">
      <w:lvlJc w:val="left"/>
      <w:lvlText w:val="%1."/>
      <w:numFmt w:val="decimal"/>
      <w:start w:val="2"/>
    </w:lvl>
    <w:lvl w:ilvl="1">
      <w:lvlJc w:val="left"/>
      <w:lvlText w:val="%2"/>
      <w:numFmt w:val="lowerLetter"/>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2025-05-20T15:38:48Z</dcterms:created>
  <dcterms:modified xsi:type="dcterms:W3CDTF">2025-05-20T15:38:48Z</dcterms:modified>
</cp:coreProperties>
</file>