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3914140</wp:posOffset>
            </wp:positionH>
            <wp:positionV relativeFrom="paragraph">
              <wp:posOffset>-605155</wp:posOffset>
            </wp:positionV>
            <wp:extent cx="57150" cy="61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642620</wp:posOffset>
            </wp:positionV>
            <wp:extent cx="7048500" cy="5005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5005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Weinberg Eric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RXSIGHT,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100 COLUMBIA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RxSight,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RXST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70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See remarks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3" w:space="720"/>
            <w:col w:w="3337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ALISO VIEJO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92656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(Instr. 3 and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06/02/2025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188,002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3.93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195,351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299,978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925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188,002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06/16/2019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07/29/2025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188,002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Includes 1,121 shares of Common Stock acquired April 30, 2024 under the Issuer's 2021 Employee Stock Purchase Plan.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Shares held by the EJW Living Trust, for which the Reporting Person serves as trustee.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Form 3 filed July 29, 2021 incorrectly reflected 187,998 shares.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Co-President and Chief Commercial Officer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Robert L. Wernli, Jr.,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-5080</wp:posOffset>
            </wp:positionV>
            <wp:extent cx="110236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-12065</wp:posOffset>
            </wp:positionV>
            <wp:extent cx="69088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-5080</wp:posOffset>
            </wp:positionV>
            <wp:extent cx="46799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00" w:space="40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95814" TargetMode="External"/><Relationship Id="rId14" Type="http://schemas.openxmlformats.org/officeDocument/2006/relationships/hyperlink" Target="http://www.sec.gov/cgi-bin/browse-edgar?action=getcompany&amp;CIK=00011114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2025-06-03T17:20:18Z</dcterms:created>
  <dcterms:modified xsi:type="dcterms:W3CDTF">2025-06-03T17:20:18Z</dcterms:modified>
</cp:coreProperties>
</file>